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BBB41" w14:textId="77777777" w:rsidR="006D25CB" w:rsidRDefault="006D25CB">
      <w:pPr>
        <w:rPr>
          <w:lang w:val="pl-PL"/>
        </w:rPr>
      </w:pPr>
    </w:p>
    <w:p w14:paraId="406B67CF" w14:textId="4CBDA97B" w:rsidR="006D25CB" w:rsidRPr="006D25CB" w:rsidRDefault="006D25CB" w:rsidP="006D25CB">
      <w:pPr>
        <w:spacing w:after="0"/>
        <w:jc w:val="right"/>
        <w:rPr>
          <w:rFonts w:ascii="Calibri" w:hAnsi="Calibri" w:cs="Calibri"/>
          <w:b/>
          <w:bCs/>
          <w:sz w:val="20"/>
          <w:szCs w:val="20"/>
          <w:lang w:val="pl-PL"/>
        </w:rPr>
      </w:pPr>
      <w:r w:rsidRPr="001040CA">
        <w:rPr>
          <w:rFonts w:ascii="Calibri" w:hAnsi="Calibri"/>
          <w:b/>
          <w:bCs/>
          <w:sz w:val="20"/>
          <w:szCs w:val="20"/>
        </w:rPr>
        <w:t xml:space="preserve">Załącznik nr </w:t>
      </w:r>
      <w:r>
        <w:rPr>
          <w:rFonts w:ascii="Calibri" w:hAnsi="Calibri"/>
          <w:b/>
          <w:bCs/>
          <w:sz w:val="20"/>
          <w:lang w:val="pl-PL"/>
        </w:rPr>
        <w:t>6</w:t>
      </w:r>
      <w:bookmarkStart w:id="0" w:name="_GoBack"/>
      <w:bookmarkEnd w:id="0"/>
    </w:p>
    <w:p w14:paraId="737A36B4" w14:textId="77777777" w:rsidR="006D25CB" w:rsidRPr="001040CA" w:rsidRDefault="006D25CB" w:rsidP="006D25CB">
      <w:pPr>
        <w:spacing w:after="0"/>
        <w:jc w:val="right"/>
        <w:rPr>
          <w:rFonts w:ascii="Calibri" w:hAnsi="Calibri" w:cs="Calibri"/>
          <w:sz w:val="20"/>
          <w:szCs w:val="20"/>
        </w:rPr>
      </w:pPr>
      <w:r w:rsidRPr="001040CA">
        <w:rPr>
          <w:rFonts w:ascii="Calibri" w:hAnsi="Calibri"/>
          <w:sz w:val="20"/>
          <w:szCs w:val="20"/>
        </w:rPr>
        <w:t xml:space="preserve">do Protokołu z </w:t>
      </w:r>
      <w:r>
        <w:rPr>
          <w:rFonts w:ascii="Calibri" w:hAnsi="Calibri"/>
          <w:sz w:val="20"/>
          <w:szCs w:val="20"/>
        </w:rPr>
        <w:t>21</w:t>
      </w:r>
      <w:r w:rsidRPr="001040CA">
        <w:rPr>
          <w:rFonts w:ascii="Calibri" w:hAnsi="Calibri"/>
          <w:sz w:val="20"/>
          <w:szCs w:val="20"/>
        </w:rPr>
        <w:t xml:space="preserve"> posiedzenia Polsko-Ukraińskiej Komisji do Spraw Wód Granicznych</w:t>
      </w:r>
    </w:p>
    <w:p w14:paraId="466F1A3D" w14:textId="329194AC" w:rsidR="00323AB7" w:rsidRPr="005A5A39" w:rsidRDefault="006D25CB" w:rsidP="006D25CB">
      <w:pPr>
        <w:jc w:val="right"/>
        <w:rPr>
          <w:lang w:val="pl-PL"/>
        </w:rPr>
      </w:pPr>
      <w:r>
        <w:rPr>
          <w:rFonts w:ascii="Calibri" w:hAnsi="Calibri"/>
          <w:sz w:val="20"/>
          <w:szCs w:val="20"/>
        </w:rPr>
        <w:t>online</w:t>
      </w:r>
      <w:r w:rsidRPr="001040CA">
        <w:rPr>
          <w:rFonts w:ascii="Calibri" w:hAnsi="Calibri"/>
          <w:sz w:val="20"/>
          <w:szCs w:val="20"/>
        </w:rPr>
        <w:t xml:space="preserve">, </w:t>
      </w:r>
      <w:r>
        <w:rPr>
          <w:rFonts w:ascii="Calibri" w:hAnsi="Calibri"/>
          <w:sz w:val="20"/>
          <w:szCs w:val="20"/>
        </w:rPr>
        <w:t>26- 27 października</w:t>
      </w:r>
      <w:r w:rsidRPr="001040CA">
        <w:rPr>
          <w:rFonts w:ascii="Calibri" w:hAnsi="Calibri"/>
          <w:sz w:val="20"/>
          <w:szCs w:val="20"/>
        </w:rPr>
        <w:t xml:space="preserve"> 202</w:t>
      </w:r>
      <w:r>
        <w:rPr>
          <w:rFonts w:ascii="Calibri" w:hAnsi="Calibri"/>
          <w:sz w:val="20"/>
          <w:szCs w:val="20"/>
        </w:rPr>
        <w:t>3</w:t>
      </w:r>
      <w:r w:rsidRPr="001040CA">
        <w:rPr>
          <w:rFonts w:ascii="Calibri" w:hAnsi="Calibri"/>
          <w:sz w:val="20"/>
          <w:szCs w:val="20"/>
        </w:rPr>
        <w:t xml:space="preserve"> r.</w:t>
      </w:r>
      <w:r w:rsidR="002116A3">
        <w:rPr>
          <w:lang w:val="pl-PL"/>
        </w:rPr>
        <w:pict w14:anchorId="05C95C13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left:0;text-align:left;margin-left:0;margin-top:0;width:50pt;height:50pt;z-index:251658240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3351DE85" w14:textId="77777777" w:rsidR="00614201" w:rsidRPr="00614201" w:rsidRDefault="00614201" w:rsidP="00614201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614201">
        <w:rPr>
          <w:rFonts w:ascii="Times New Roman" w:hAnsi="Times New Roman" w:cs="Times New Roman"/>
          <w:b/>
          <w:sz w:val="28"/>
          <w:szCs w:val="28"/>
          <w:lang w:val="pl-PL"/>
        </w:rPr>
        <w:t xml:space="preserve">Sprawozdanie </w:t>
      </w:r>
    </w:p>
    <w:p w14:paraId="66D264CA" w14:textId="77777777" w:rsidR="00614201" w:rsidRPr="00614201" w:rsidRDefault="00614201" w:rsidP="00614201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614201">
        <w:rPr>
          <w:rFonts w:ascii="Times New Roman" w:hAnsi="Times New Roman" w:cs="Times New Roman"/>
          <w:b/>
          <w:sz w:val="28"/>
          <w:szCs w:val="28"/>
          <w:lang w:val="pl-PL"/>
        </w:rPr>
        <w:t xml:space="preserve">z realizacji planu pracy </w:t>
      </w:r>
      <w:bookmarkStart w:id="1" w:name="_Hlk148422221"/>
      <w:r w:rsidRPr="00614201">
        <w:rPr>
          <w:rFonts w:ascii="Times New Roman" w:hAnsi="Times New Roman" w:cs="Times New Roman"/>
          <w:b/>
          <w:sz w:val="28"/>
          <w:szCs w:val="28"/>
          <w:lang w:val="pl-PL"/>
        </w:rPr>
        <w:t>Grupy Roboczej</w:t>
      </w:r>
    </w:p>
    <w:p w14:paraId="3071765F" w14:textId="0FA97F19" w:rsidR="00614201" w:rsidRPr="00614201" w:rsidRDefault="00614201" w:rsidP="00614201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614201">
        <w:rPr>
          <w:rFonts w:ascii="Times New Roman" w:hAnsi="Times New Roman" w:cs="Times New Roman"/>
          <w:b/>
          <w:sz w:val="28"/>
          <w:szCs w:val="28"/>
          <w:lang w:val="pl-PL"/>
        </w:rPr>
        <w:t xml:space="preserve">do Spraw Ochrony Przeciwpowodziowej, Regulacji </w:t>
      </w:r>
      <w:r w:rsidR="00FF2758" w:rsidRPr="005A5A39">
        <w:rPr>
          <w:rFonts w:ascii="Times New Roman" w:hAnsi="Times New Roman" w:cs="Times New Roman"/>
          <w:b/>
          <w:sz w:val="28"/>
          <w:szCs w:val="28"/>
          <w:lang w:val="pl-PL"/>
        </w:rPr>
        <w:t>i</w:t>
      </w:r>
      <w:r w:rsidRPr="00614201">
        <w:rPr>
          <w:rFonts w:ascii="Times New Roman" w:hAnsi="Times New Roman" w:cs="Times New Roman"/>
          <w:b/>
          <w:sz w:val="28"/>
          <w:szCs w:val="28"/>
          <w:lang w:val="pl-PL"/>
        </w:rPr>
        <w:t xml:space="preserve"> Melioracji (OP)</w:t>
      </w:r>
    </w:p>
    <w:p w14:paraId="0BD6DDF3" w14:textId="2760E11A" w:rsidR="00614201" w:rsidRPr="00614201" w:rsidRDefault="00614201" w:rsidP="00614201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614201">
        <w:rPr>
          <w:rFonts w:ascii="Times New Roman" w:hAnsi="Times New Roman" w:cs="Times New Roman"/>
          <w:b/>
          <w:sz w:val="28"/>
          <w:szCs w:val="28"/>
          <w:lang w:val="pl-PL"/>
        </w:rPr>
        <w:t>w 2023 roku</w:t>
      </w:r>
      <w:bookmarkEnd w:id="1"/>
    </w:p>
    <w:p w14:paraId="44FFE1FB" w14:textId="77777777" w:rsidR="00323AB7" w:rsidRPr="005A5A39" w:rsidRDefault="00323AB7" w:rsidP="00DA2F79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278D2929" w14:textId="24FDFB2D" w:rsidR="00323AB7" w:rsidRPr="005A5A39" w:rsidRDefault="00323AB7">
      <w:pPr>
        <w:widowControl w:val="0"/>
        <w:tabs>
          <w:tab w:val="left" w:pos="781"/>
        </w:tabs>
        <w:autoSpaceDE w:val="0"/>
        <w:autoSpaceDN w:val="0"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lang w:val="pl-PL" w:eastAsia="ru-RU" w:bidi="ru-RU"/>
        </w:rPr>
      </w:pP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Zgodnie z planem pracy grupy na 2023 r. zaplanowano 2 wizyty terenowe i</w:t>
      </w:r>
      <w:r w:rsidR="00614201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 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inspekcje </w:t>
      </w:r>
      <w:r w:rsidR="00614201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poszczególnych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odcinków rzek granicznych, kanałów melioracyjnych i</w:t>
      </w:r>
      <w:r w:rsidR="00614201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 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innych obiektów granicznych na </w:t>
      </w:r>
      <w:r w:rsidR="00FF2758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terytorium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Ukrain</w:t>
      </w:r>
      <w:r w:rsidR="00FF2758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y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i </w:t>
      </w:r>
      <w:r w:rsidR="00FF2758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Rzeczypospolitej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Pols</w:t>
      </w:r>
      <w:r w:rsidR="00FF2758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kiej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. Ze względu na agresję wojskową Federacji Rosyjskiej przeciwko Ukrainie plan pracy grupy został </w:t>
      </w:r>
      <w:r w:rsidR="00FF2758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zrealizowany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częściowo.</w:t>
      </w:r>
    </w:p>
    <w:p w14:paraId="6D70CE9A" w14:textId="77777777" w:rsidR="00323AB7" w:rsidRPr="005A5A39" w:rsidRDefault="00323AB7" w:rsidP="00440257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napToGrid w:val="0"/>
          <w:sz w:val="28"/>
          <w:szCs w:val="28"/>
          <w:lang w:val="pl-PL" w:eastAsia="ru-RU"/>
        </w:rPr>
      </w:pPr>
    </w:p>
    <w:p w14:paraId="1BB2D971" w14:textId="77777777" w:rsidR="00323AB7" w:rsidRPr="005A5A39" w:rsidRDefault="00323AB7">
      <w:pPr>
        <w:widowControl w:val="0"/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outlineLvl w:val="0"/>
        <w:rPr>
          <w:rFonts w:ascii="Times New Roman" w:eastAsia="Calibri" w:hAnsi="Times New Roman" w:cs="Times New Roman"/>
          <w:snapToGrid w:val="0"/>
          <w:sz w:val="28"/>
          <w:szCs w:val="28"/>
          <w:lang w:val="pl-PL" w:eastAsia="ru-RU"/>
        </w:rPr>
      </w:pPr>
      <w:r w:rsidRPr="005A5A39">
        <w:rPr>
          <w:rFonts w:ascii="Times New Roman" w:eastAsia="Calibri" w:hAnsi="Times New Roman" w:cs="Times New Roman"/>
          <w:b/>
          <w:snapToGrid w:val="0"/>
          <w:sz w:val="28"/>
          <w:szCs w:val="28"/>
          <w:lang w:val="pl-PL" w:eastAsia="ru-RU"/>
        </w:rPr>
        <w:t>Realizacja planu pracy</w:t>
      </w:r>
    </w:p>
    <w:p w14:paraId="374C8251" w14:textId="16646011" w:rsidR="00323AB7" w:rsidRPr="005A5A39" w:rsidRDefault="00323AB7" w:rsidP="00FF27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pl-PL" w:eastAsia="ru-RU" w:bidi="ru-RU"/>
        </w:rPr>
      </w:pPr>
      <w:r w:rsidRPr="005A5A39">
        <w:rPr>
          <w:rFonts w:ascii="Times New Roman" w:eastAsia="Calibri" w:hAnsi="Times New Roman" w:cs="Times New Roman"/>
          <w:snapToGrid w:val="0"/>
          <w:sz w:val="28"/>
          <w:szCs w:val="28"/>
          <w:lang w:val="pl-PL" w:eastAsia="ru-RU"/>
        </w:rPr>
        <w:t xml:space="preserve">Na zaproszenie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strony polskiej w dniach </w:t>
      </w:r>
      <w:r w:rsidRPr="005A5A39">
        <w:rPr>
          <w:rFonts w:ascii="Times New Roman" w:eastAsia="Calibri" w:hAnsi="Times New Roman" w:cs="Times New Roman"/>
          <w:snapToGrid w:val="0"/>
          <w:sz w:val="28"/>
          <w:szCs w:val="28"/>
          <w:lang w:val="pl-PL" w:eastAsia="ru-RU"/>
        </w:rPr>
        <w:t xml:space="preserve">18-21 września 2023 r. w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Ustrzykach Dolnych (Rzeczpospolita Polska) zaplanowano XXXIX posiedzenie Grupy </w:t>
      </w:r>
      <w:r w:rsidR="00FF2758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Roboczej do Spraw Ochrony Przeciwpowodziowej, Regulacji i Melioracji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. Jednak ze względu na odmowę </w:t>
      </w:r>
      <w:r w:rsidRPr="005A5A39">
        <w:rPr>
          <w:rFonts w:ascii="Times New Roman" w:eastAsia="Times New Roman" w:hAnsi="Times New Roman" w:cs="Times New Roman"/>
          <w:color w:val="212121"/>
          <w:sz w:val="28"/>
          <w:szCs w:val="20"/>
          <w:lang w:val="pl-PL"/>
        </w:rPr>
        <w:t xml:space="preserve">Państwowej Służby Granicznej Ukrainy </w:t>
      </w:r>
      <w:r w:rsidR="009670F3" w:rsidRPr="005A5A39">
        <w:rPr>
          <w:rFonts w:ascii="Times New Roman" w:eastAsia="Times New Roman" w:hAnsi="Times New Roman" w:cs="Times New Roman"/>
          <w:color w:val="212121"/>
          <w:sz w:val="28"/>
          <w:szCs w:val="20"/>
          <w:lang w:val="pl-PL"/>
        </w:rPr>
        <w:t xml:space="preserve">w </w:t>
      </w:r>
      <w:r w:rsidRPr="005A5A39">
        <w:rPr>
          <w:rFonts w:ascii="Times New Roman" w:eastAsia="Times New Roman" w:hAnsi="Times New Roman" w:cs="Times New Roman"/>
          <w:color w:val="212121"/>
          <w:sz w:val="28"/>
          <w:szCs w:val="20"/>
          <w:lang w:val="pl-PL"/>
        </w:rPr>
        <w:t>przekroczeni</w:t>
      </w:r>
      <w:r w:rsidR="009670F3" w:rsidRPr="005A5A39">
        <w:rPr>
          <w:rFonts w:ascii="Times New Roman" w:eastAsia="Times New Roman" w:hAnsi="Times New Roman" w:cs="Times New Roman"/>
          <w:color w:val="212121"/>
          <w:sz w:val="28"/>
          <w:szCs w:val="20"/>
          <w:lang w:val="pl-PL"/>
        </w:rPr>
        <w:t>u</w:t>
      </w:r>
      <w:r w:rsidRPr="005A5A39">
        <w:rPr>
          <w:rFonts w:ascii="Times New Roman" w:eastAsia="Times New Roman" w:hAnsi="Times New Roman" w:cs="Times New Roman"/>
          <w:color w:val="212121"/>
          <w:sz w:val="28"/>
          <w:szCs w:val="20"/>
          <w:lang w:val="pl-PL"/>
        </w:rPr>
        <w:t xml:space="preserve"> granicy w czasie wojny,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ukraińska część delegacji nie wzięła udziału w spotkaniu.</w:t>
      </w:r>
    </w:p>
    <w:p w14:paraId="0D303518" w14:textId="26804D67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pl-PL" w:eastAsia="ru-RU" w:bidi="ru-RU"/>
        </w:rPr>
      </w:pP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W dniach 18-21 września 2023 r. polska część Grupy Roboczej </w:t>
      </w:r>
      <w:r w:rsidR="009670F3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OP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przeprowadziła oględziny wybranych odcinków cieków wodnych od </w:t>
      </w:r>
      <w:r w:rsidR="009670F3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słupa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granicznego 451 do </w:t>
      </w:r>
      <w:r w:rsidR="009670F3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słupa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granicznego 225. Badanie zostało przeprowadzone na gruntach po stronie polskiej.</w:t>
      </w:r>
    </w:p>
    <w:p w14:paraId="0D71A121" w14:textId="3D4BE50E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pl-PL" w:eastAsia="ru-RU" w:bidi="ru-RU"/>
        </w:rPr>
      </w:pP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Zgodnie z </w:t>
      </w:r>
      <w:r w:rsidR="009670F3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zadaniem technicznym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Grupa Robocza </w:t>
      </w:r>
      <w:r w:rsidR="009670F3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zbadała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odcinki rzek granicznych i przedstawiła zalecenia dotyczące wyeliminowania negatywnych procesów, co zostało odzwierciedlone w 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Protokole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z posiedzenia. </w:t>
      </w:r>
    </w:p>
    <w:p w14:paraId="5B3F266F" w14:textId="68BBCD70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pl-PL" w:eastAsia="ru-RU" w:bidi="ru-RU"/>
        </w:rPr>
      </w:pP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Podczas spotkania członkowie polskiej części Grupy Roboczej 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OP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otrzymali duże wsparcie ze strony Bieszczadzkiego Oddziału Straży Granicznej w Przemyślu, zarówno pod względem technicznym (transport członków grupy do trudno dostępnych miejsc), jak i informacyjnym (dostarczanie informacji na temat jednolitych części wód, które były badane w obszarze przygranicznym).</w:t>
      </w:r>
    </w:p>
    <w:p w14:paraId="20B25A0D" w14:textId="353D4130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pl-PL" w:eastAsia="ru-RU" w:bidi="ru-RU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 dniach 28-29 września 2023 r. ukraińska część 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Grupy Roboczej OP</w:t>
      </w:r>
      <w:r w:rsidR="00BC7A7C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niezależnie zbadała 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poszczególne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odcinki rzek granicznych i cieków wodnych przekraczających granicę państwową na </w:t>
      </w:r>
      <w:r w:rsidR="00BC7A7C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terytorium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Ukrain</w:t>
      </w:r>
      <w:r w:rsidR="00BC7A7C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y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.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Badanie zostało przeprowadzone od 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słupa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granicznego 224 do 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słupa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granicznego 411.</w:t>
      </w:r>
    </w:p>
    <w:p w14:paraId="75356382" w14:textId="77777777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pl-PL" w:eastAsia="ru-RU" w:bidi="ru-RU"/>
        </w:rPr>
      </w:pP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Wyniki badania zostały udokumentowane w protokole i przekazane stronie polskiej do wglądu.</w:t>
      </w:r>
    </w:p>
    <w:p w14:paraId="1C377AAC" w14:textId="5F36A07C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W dniu 12 października 2023 r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oku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odbył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a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się XXXX </w:t>
      </w:r>
      <w:r w:rsidR="00BC7A7C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narada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online Grupy Roboczej </w:t>
      </w:r>
      <w:r w:rsidR="00E22364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O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P w formie wideokonferencji. Podczas spotkania </w:t>
      </w:r>
      <w:r w:rsidR="00E22364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kierownicy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grupy poinformowali o </w:t>
      </w:r>
      <w:r w:rsidR="00E22364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zrealizowanych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badaniach jednolitych części wód, uzgodnili projekt </w:t>
      </w:r>
      <w:r w:rsidR="00E22364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Planu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pracy </w:t>
      </w:r>
      <w:r w:rsidR="00E22364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Grupy 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na 2024 r</w:t>
      </w:r>
      <w:r w:rsidR="00E22364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ok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oraz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omówili kwestie związane z utrzymaniem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lastRenderedPageBreak/>
        <w:t>granicznych obiektów melioracyjnych, ochroną przeciwpowodziową i zapewnieniem stabilnego przebiegu granicy państwowej.</w:t>
      </w:r>
    </w:p>
    <w:p w14:paraId="1769E97C" w14:textId="15356DBB" w:rsidR="00323AB7" w:rsidRPr="005A5A39" w:rsidRDefault="00323AB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</w:pP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Grupa robocza </w:t>
      </w:r>
      <w:r w:rsidR="00E22364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OP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 omówiła również wykonalność usuwania tam bobrowych i</w:t>
      </w:r>
      <w:r w:rsidR="00E22364"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> </w:t>
      </w:r>
      <w:r w:rsidRPr="005A5A39">
        <w:rPr>
          <w:rFonts w:ascii="Times New Roman" w:eastAsia="Times New Roman" w:hAnsi="Times New Roman" w:cs="Times New Roman"/>
          <w:sz w:val="28"/>
          <w:lang w:val="pl-PL" w:eastAsia="ru-RU" w:bidi="ru-RU"/>
        </w:rPr>
        <w:t xml:space="preserve">obliczyła potrzeby finansowe wymagane do oczyszczenia granicznych </w:t>
      </w:r>
      <w:r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>cieków wodnych.</w:t>
      </w:r>
    </w:p>
    <w:p w14:paraId="552EFB15" w14:textId="2F21D597" w:rsidR="00323AB7" w:rsidRPr="005A5A39" w:rsidRDefault="00323AB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</w:pPr>
      <w:r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 xml:space="preserve">W celu zapobiegania sytuacjom kryzysowym na granicznych ciekach wodnych, grupa zaproponowała opracowanie wspólnej bazy danych na temat parametrów technicznych granicznych </w:t>
      </w:r>
      <w:r w:rsidR="00E22364"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>obiektów</w:t>
      </w:r>
      <w:r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 xml:space="preserve"> wodnych (zbiorników wodnych, zbiorników przeciwpowodziowych itp.), które mogą stanowić potencjalne zagrożenie podczas powodzi i </w:t>
      </w:r>
      <w:r w:rsidR="00E22364"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>przyborów w</w:t>
      </w:r>
      <w:r w:rsidR="00C00063"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>ó</w:t>
      </w:r>
      <w:r w:rsidR="00E22364"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 xml:space="preserve">d z powodu </w:t>
      </w:r>
      <w:r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>opadów deszczu w dorzeczach Bugu, Sanu i</w:t>
      </w:r>
      <w:r w:rsidR="002C3518"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> </w:t>
      </w:r>
      <w:r w:rsidRPr="005A5A39">
        <w:rPr>
          <w:rFonts w:ascii="Times New Roman" w:eastAsia="Times New Roman" w:hAnsi="Times New Roman" w:cs="Times New Roman"/>
          <w:sz w:val="28"/>
          <w:szCs w:val="28"/>
          <w:lang w:val="pl-PL" w:eastAsia="uk-UA"/>
        </w:rPr>
        <w:t>Dniestru.</w:t>
      </w:r>
    </w:p>
    <w:p w14:paraId="066347F3" w14:textId="77777777" w:rsidR="00323AB7" w:rsidRPr="005A5A39" w:rsidRDefault="00323AB7" w:rsidP="00440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</w:p>
    <w:p w14:paraId="29CBD74C" w14:textId="57C9E41B" w:rsidR="00323AB7" w:rsidRPr="005A5A39" w:rsidRDefault="00323AB7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napToGrid w:val="0"/>
          <w:sz w:val="28"/>
          <w:szCs w:val="28"/>
          <w:lang w:val="pl-PL" w:eastAsia="ru-RU"/>
        </w:rPr>
      </w:pPr>
      <w:r w:rsidRPr="005A5A39">
        <w:rPr>
          <w:rFonts w:ascii="Times New Roman" w:eastAsia="Calibri" w:hAnsi="Times New Roman" w:cs="Times New Roman"/>
          <w:b/>
          <w:snapToGrid w:val="0"/>
          <w:sz w:val="28"/>
          <w:szCs w:val="28"/>
          <w:lang w:val="pl-PL" w:eastAsia="ru-RU"/>
        </w:rPr>
        <w:t>Podsumow</w:t>
      </w:r>
      <w:r w:rsidR="0065077A" w:rsidRPr="005A5A39">
        <w:rPr>
          <w:rFonts w:ascii="Times New Roman" w:eastAsia="Calibri" w:hAnsi="Times New Roman" w:cs="Times New Roman"/>
          <w:b/>
          <w:snapToGrid w:val="0"/>
          <w:sz w:val="28"/>
          <w:szCs w:val="28"/>
          <w:lang w:val="pl-PL" w:eastAsia="ru-RU"/>
        </w:rPr>
        <w:t>anie</w:t>
      </w:r>
      <w:r w:rsidRPr="005A5A39">
        <w:rPr>
          <w:rFonts w:ascii="Times New Roman" w:eastAsia="Calibri" w:hAnsi="Times New Roman" w:cs="Times New Roman"/>
          <w:b/>
          <w:snapToGrid w:val="0"/>
          <w:sz w:val="28"/>
          <w:szCs w:val="28"/>
          <w:lang w:val="pl-PL" w:eastAsia="ru-RU"/>
        </w:rPr>
        <w:t xml:space="preserve"> wynik</w:t>
      </w:r>
      <w:r w:rsidR="0065077A" w:rsidRPr="005A5A39">
        <w:rPr>
          <w:rFonts w:ascii="Times New Roman" w:eastAsia="Calibri" w:hAnsi="Times New Roman" w:cs="Times New Roman"/>
          <w:b/>
          <w:snapToGrid w:val="0"/>
          <w:sz w:val="28"/>
          <w:szCs w:val="28"/>
          <w:lang w:val="pl-PL" w:eastAsia="ru-RU"/>
        </w:rPr>
        <w:t>ów</w:t>
      </w:r>
      <w:r w:rsidRPr="005A5A39">
        <w:rPr>
          <w:rFonts w:ascii="Times New Roman" w:eastAsia="Calibri" w:hAnsi="Times New Roman" w:cs="Times New Roman"/>
          <w:b/>
          <w:snapToGrid w:val="0"/>
          <w:sz w:val="28"/>
          <w:szCs w:val="28"/>
          <w:lang w:val="pl-PL" w:eastAsia="ru-RU"/>
        </w:rPr>
        <w:t xml:space="preserve"> pracy</w:t>
      </w:r>
    </w:p>
    <w:p w14:paraId="0C0F43EC" w14:textId="77777777" w:rsidR="00323AB7" w:rsidRPr="005A5A39" w:rsidRDefault="00323AB7" w:rsidP="0044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u w:val="single"/>
          <w:lang w:val="pl-PL"/>
        </w:rPr>
      </w:pPr>
    </w:p>
    <w:p w14:paraId="40AD68E2" w14:textId="77777777" w:rsidR="00323AB7" w:rsidRPr="005A5A39" w:rsidRDefault="00323A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u w:val="single"/>
          <w:lang w:val="pl-PL"/>
        </w:rPr>
      </w:pPr>
      <w:r w:rsidRPr="005A5A39">
        <w:rPr>
          <w:rFonts w:ascii="Times New Roman" w:eastAsia="Calibri" w:hAnsi="Times New Roman" w:cs="Times New Roman"/>
          <w:b/>
          <w:sz w:val="28"/>
          <w:u w:val="single"/>
          <w:lang w:val="pl-PL"/>
        </w:rPr>
        <w:t>W latach 2022-2023 strona ukraińska:</w:t>
      </w:r>
    </w:p>
    <w:p w14:paraId="579D9020" w14:textId="77777777" w:rsidR="00323AB7" w:rsidRPr="005A5A39" w:rsidRDefault="00323AB7" w:rsidP="00440257">
      <w:pPr>
        <w:spacing w:after="0" w:line="240" w:lineRule="auto"/>
        <w:ind w:left="927"/>
        <w:contextualSpacing/>
        <w:jc w:val="both"/>
        <w:rPr>
          <w:rFonts w:ascii="Times New Roman" w:eastAsia="Calibri" w:hAnsi="Times New Roman" w:cs="Times New Roman"/>
          <w:sz w:val="28"/>
          <w:u w:val="single"/>
          <w:lang w:val="pl-PL"/>
        </w:rPr>
      </w:pPr>
    </w:p>
    <w:p w14:paraId="52AEF64A" w14:textId="77777777" w:rsidR="00323AB7" w:rsidRPr="005A5A39" w:rsidRDefault="00323AB7">
      <w:pPr>
        <w:spacing w:after="0" w:line="240" w:lineRule="auto"/>
        <w:ind w:left="927"/>
        <w:contextualSpacing/>
        <w:jc w:val="both"/>
        <w:rPr>
          <w:rFonts w:ascii="Times New Roman" w:eastAsia="Calibri" w:hAnsi="Times New Roman" w:cs="Times New Roman"/>
          <w:sz w:val="28"/>
          <w:u w:val="single"/>
          <w:lang w:val="pl-PL"/>
        </w:rPr>
      </w:pPr>
      <w:r w:rsidRPr="005A5A39">
        <w:rPr>
          <w:rFonts w:ascii="Times New Roman" w:eastAsia="Calibri" w:hAnsi="Times New Roman" w:cs="Times New Roman"/>
          <w:sz w:val="28"/>
          <w:u w:val="single"/>
          <w:lang w:val="pl-PL"/>
        </w:rPr>
        <w:t>Na terytorium obwodu lwowskiego:</w:t>
      </w:r>
    </w:p>
    <w:p w14:paraId="1D2B467B" w14:textId="0E14F1B7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Kierując się planem pracy Grupy na 2023 r., ukraińska część Grupy 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OP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 dniach 28-29 września 2023 roku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niezależnie zbadała 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poszczególne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odcinki rzek granicznych, cieków wodnych i kanałów przekraczających granicę państwową na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terytorium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Ukrain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y.</w:t>
      </w:r>
    </w:p>
    <w:p w14:paraId="203BAF1B" w14:textId="2004918E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Badanie przeprowadzono drogą lądową od 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słupa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granicznego 224 do 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słupa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granicznego 411. Badanie objęło dwa dorzecza 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–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dorzecz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Sianu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i Dniestru, a</w:t>
      </w:r>
      <w:r w:rsidR="0065077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mianowicie następujące cieki wodne:</w:t>
      </w:r>
    </w:p>
    <w:p w14:paraId="2CB97128" w14:textId="4F20652A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 xml:space="preserve">Dorzecze rzeki </w:t>
      </w:r>
      <w:r w:rsidR="0065077A"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San</w:t>
      </w: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:</w:t>
      </w:r>
    </w:p>
    <w:p w14:paraId="6136D6E8" w14:textId="574D9F81" w:rsidR="00323AB7" w:rsidRPr="005A5A39" w:rsidRDefault="00323AB7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Rzeka </w:t>
      </w:r>
      <w:r w:rsidR="0065077A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San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 </w:t>
      </w:r>
      <w:r w:rsidR="0065077A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–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 granicą stanu, </w:t>
      </w:r>
      <w:r w:rsidR="0065077A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słup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 graniczny 224 i </w:t>
      </w:r>
      <w:r w:rsidR="0065077A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słup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 graniczny 351;</w:t>
      </w:r>
    </w:p>
    <w:p w14:paraId="0FDF7826" w14:textId="08F4A673" w:rsidR="00323AB7" w:rsidRPr="005A5A39" w:rsidRDefault="00323AB7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pl-PL" w:eastAsia="uk-UA"/>
        </w:rPr>
      </w:pP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Rzeka </w:t>
      </w:r>
      <w:proofErr w:type="spellStart"/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Rika</w:t>
      </w:r>
      <w:proofErr w:type="spellEnd"/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 xml:space="preserve"> 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(zwana również</w:t>
      </w:r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: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 </w:t>
      </w:r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rzek</w:t>
      </w:r>
      <w:r w:rsidR="00512A64"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a</w:t>
      </w:r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 xml:space="preserve"> 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Boberk</w:t>
      </w:r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a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, </w:t>
      </w:r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rzek</w:t>
      </w:r>
      <w:r w:rsidR="00512A64"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a</w:t>
      </w:r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 xml:space="preserve"> </w:t>
      </w:r>
      <w:proofErr w:type="spellStart"/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R</w:t>
      </w:r>
      <w:r w:rsidR="00512A64"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y</w:t>
      </w:r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ka</w:t>
      </w:r>
      <w:proofErr w:type="spellEnd"/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) </w:t>
      </w:r>
      <w:r w:rsidRPr="005A5A39">
        <w:rPr>
          <w:rFonts w:ascii="Times New Roman" w:eastAsia="Times New Roman" w:hAnsi="Times New Roman" w:cs="Times New Roman"/>
          <w:color w:val="000000"/>
          <w:sz w:val="28"/>
          <w:szCs w:val="28"/>
          <w:lang w:val="pl-PL" w:eastAsia="uk-UA"/>
        </w:rPr>
        <w:t xml:space="preserve">między </w:t>
      </w:r>
      <w:r w:rsidR="00512A64" w:rsidRPr="005A5A39">
        <w:rPr>
          <w:rFonts w:ascii="Times New Roman" w:eastAsia="Times New Roman" w:hAnsi="Times New Roman" w:cs="Times New Roman"/>
          <w:color w:val="000000"/>
          <w:sz w:val="28"/>
          <w:szCs w:val="28"/>
          <w:lang w:val="pl-PL" w:eastAsia="uk-UA"/>
        </w:rPr>
        <w:t>słupami</w:t>
      </w:r>
      <w:r w:rsidRPr="005A5A39">
        <w:rPr>
          <w:rFonts w:ascii="Times New Roman" w:eastAsia="Times New Roman" w:hAnsi="Times New Roman" w:cs="Times New Roman"/>
          <w:color w:val="000000"/>
          <w:sz w:val="28"/>
          <w:szCs w:val="28"/>
          <w:lang w:val="pl-PL" w:eastAsia="uk-UA"/>
        </w:rPr>
        <w:t xml:space="preserve"> granicznymi 346-347;</w:t>
      </w:r>
    </w:p>
    <w:p w14:paraId="0B10F292" w14:textId="1C407845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 xml:space="preserve">Dorzecze </w:t>
      </w:r>
      <w:r w:rsidR="00512A64"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 xml:space="preserve">rzeki </w:t>
      </w: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Dniestr:</w:t>
      </w:r>
    </w:p>
    <w:p w14:paraId="24367753" w14:textId="218E2A3A" w:rsidR="00323AB7" w:rsidRPr="005A5A39" w:rsidRDefault="00323AB7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Potok </w:t>
      </w:r>
      <w:proofErr w:type="spellStart"/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Ms</w:t>
      </w:r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z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an</w:t>
      </w:r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eć</w:t>
      </w:r>
      <w:proofErr w:type="spellEnd"/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, </w:t>
      </w:r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słup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 graniczny 372;</w:t>
      </w:r>
    </w:p>
    <w:p w14:paraId="588C6C0A" w14:textId="7D64FCD9" w:rsidR="00323AB7" w:rsidRPr="005A5A39" w:rsidRDefault="00323AB7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Potok </w:t>
      </w:r>
      <w:proofErr w:type="spellStart"/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Hnylyi</w:t>
      </w:r>
      <w:proofErr w:type="spellEnd"/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, </w:t>
      </w:r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słup 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graniczny 377;</w:t>
      </w:r>
    </w:p>
    <w:p w14:paraId="1E19A103" w14:textId="5B723478" w:rsidR="00323AB7" w:rsidRPr="005A5A39" w:rsidRDefault="00512A64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Potok </w:t>
      </w:r>
      <w:proofErr w:type="spellStart"/>
      <w:r w:rsidR="00323AB7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Maksym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owski</w:t>
      </w:r>
      <w:proofErr w:type="spellEnd"/>
      <w:r w:rsidR="00323AB7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, między 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słupami </w:t>
      </w:r>
      <w:r w:rsidR="00323AB7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granicznymi 378-379;</w:t>
      </w:r>
    </w:p>
    <w:p w14:paraId="5842C0B6" w14:textId="4B4156ED" w:rsidR="00323AB7" w:rsidRPr="005A5A39" w:rsidRDefault="00323AB7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Potok </w:t>
      </w:r>
      <w:proofErr w:type="spellStart"/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Sychawka</w:t>
      </w:r>
      <w:proofErr w:type="spellEnd"/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, między </w:t>
      </w:r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słupami </w:t>
      </w:r>
      <w:r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>granicznymi 378-379;</w:t>
      </w:r>
    </w:p>
    <w:p w14:paraId="13E7F10B" w14:textId="4B7A42D0" w:rsidR="00323AB7" w:rsidRPr="005A5A39" w:rsidRDefault="00323AB7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</w:pPr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Rzeka Strwiąż</w:t>
      </w:r>
      <w:r w:rsidRPr="005A5A39">
        <w:rPr>
          <w:rFonts w:ascii="Times New Roman" w:eastAsia="Times New Roman" w:hAnsi="Times New Roman" w:cs="Times New Roman"/>
          <w:color w:val="000000"/>
          <w:sz w:val="28"/>
          <w:szCs w:val="28"/>
          <w:lang w:val="pl-PL" w:eastAsia="uk-UA"/>
        </w:rPr>
        <w:t xml:space="preserve">, </w:t>
      </w:r>
      <w:r w:rsidR="00512A64" w:rsidRPr="005A5A39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słup </w:t>
      </w:r>
      <w:r w:rsidRPr="005A5A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uk-UA"/>
        </w:rPr>
        <w:t>graniczny 411;</w:t>
      </w:r>
    </w:p>
    <w:p w14:paraId="4416EE31" w14:textId="77777777" w:rsidR="00323AB7" w:rsidRPr="005A5A39" w:rsidRDefault="00323AB7" w:rsidP="00440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</w:p>
    <w:p w14:paraId="3EBC944F" w14:textId="600FFE5F" w:rsidR="00323AB7" w:rsidRPr="005A5A39" w:rsidRDefault="00323A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lang w:val="pl-PL"/>
        </w:rPr>
        <w:t>Ponadto w 2023 r. specjaliści z Zarządu Zasobów Wodnych Dorzecza Bugu i</w:t>
      </w:r>
      <w:r w:rsidR="000A2066" w:rsidRPr="005A5A39">
        <w:rPr>
          <w:rFonts w:ascii="Times New Roman" w:eastAsia="Calibri" w:hAnsi="Times New Roman" w:cs="Times New Roman"/>
          <w:sz w:val="28"/>
          <w:lang w:val="pl-PL"/>
        </w:rPr>
        <w:t> </w:t>
      </w:r>
      <w:r w:rsidR="00512A64" w:rsidRPr="005A5A39">
        <w:rPr>
          <w:rFonts w:ascii="Times New Roman" w:eastAsia="Calibri" w:hAnsi="Times New Roman" w:cs="Times New Roman"/>
          <w:sz w:val="28"/>
          <w:lang w:val="pl-PL"/>
        </w:rPr>
        <w:t>Sanu</w:t>
      </w:r>
      <w:r w:rsidRPr="005A5A39">
        <w:rPr>
          <w:rFonts w:ascii="Times New Roman" w:eastAsia="Calibri" w:hAnsi="Times New Roman" w:cs="Times New Roman"/>
          <w:sz w:val="28"/>
          <w:lang w:val="pl-PL"/>
        </w:rPr>
        <w:t xml:space="preserve"> przeprowadzili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prace konserwacyjne na 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wspólnej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sieci 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melioracyjnej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, która znajduje się w dziesięciokilometrowym pasie granicznym, a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mianowicie:</w:t>
      </w:r>
    </w:p>
    <w:p w14:paraId="6392719D" w14:textId="621002E9" w:rsidR="00323AB7" w:rsidRPr="005A5A39" w:rsidRDefault="00323AB7" w:rsidP="00323AB7">
      <w:pPr>
        <w:numPr>
          <w:ilvl w:val="0"/>
          <w:numId w:val="3"/>
        </w:numPr>
        <w:spacing w:after="0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Koszenie 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wokół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kanałów 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–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51,2 km;</w:t>
      </w:r>
    </w:p>
    <w:p w14:paraId="041D88DA" w14:textId="62749782" w:rsidR="00323AB7" w:rsidRPr="005A5A39" w:rsidRDefault="00323AB7" w:rsidP="00323AB7">
      <w:pPr>
        <w:numPr>
          <w:ilvl w:val="0"/>
          <w:numId w:val="3"/>
        </w:numPr>
        <w:spacing w:after="0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Wycinka krzewów 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–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7,1 km;</w:t>
      </w:r>
    </w:p>
    <w:p w14:paraId="7C17CD7C" w14:textId="703584D1" w:rsidR="00323AB7" w:rsidRPr="005A5A39" w:rsidRDefault="00323AB7" w:rsidP="00323AB7">
      <w:pPr>
        <w:numPr>
          <w:ilvl w:val="0"/>
          <w:numId w:val="3"/>
        </w:numPr>
        <w:spacing w:after="0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Napraw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urządzeń hydrotechnicznych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–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19 </w:t>
      </w:r>
      <w:r w:rsidR="006639D8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szt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.</w:t>
      </w:r>
    </w:p>
    <w:p w14:paraId="1B882A0C" w14:textId="4A2414FE" w:rsidR="00323AB7" w:rsidRPr="005A5A39" w:rsidRDefault="00323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lastRenderedPageBreak/>
        <w:t xml:space="preserve">Regulacja </w:t>
      </w:r>
      <w:r w:rsidR="00E26D37"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reżimu</w:t>
      </w:r>
      <w:r w:rsidR="00E26D3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poziom</w:t>
      </w:r>
      <w:r w:rsidR="000A2066"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ów</w:t>
      </w: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 xml:space="preserve"> rzeki Zawad</w:t>
      </w:r>
      <w:r w:rsidR="000A2066"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ó</w:t>
      </w: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wki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. Ponieważ kwestia ta była wielokrotnie podnoszona podczas spotkań Pełnomocników Rządów Ukrainy i</w:t>
      </w:r>
      <w:r w:rsidR="000A206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Rzeczypospolitej Polskiej w związku z problemami powodzi z rzeki Zawad</w:t>
      </w:r>
      <w:r w:rsidR="000A206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ó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wki </w:t>
      </w:r>
      <w:r w:rsidR="000A206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na terytorium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Pol</w:t>
      </w:r>
      <w:r w:rsidR="000A206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ski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tuż za granicą z Ukrainą, </w:t>
      </w:r>
      <w:r w:rsidR="000A2066" w:rsidRPr="005A5A39">
        <w:rPr>
          <w:rFonts w:ascii="Times New Roman" w:eastAsia="Calibri" w:hAnsi="Times New Roman" w:cs="Times New Roman"/>
          <w:sz w:val="28"/>
          <w:lang w:val="pl-PL"/>
        </w:rPr>
        <w:t>Zarząd Zasobów Wodnych Dorzecza Bugu i Sanu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, przy udziale przedstawicieli </w:t>
      </w:r>
      <w:r w:rsidR="000A206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samorządu lokalnego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 </w:t>
      </w:r>
      <w:proofErr w:type="spellStart"/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Jaworowie</w:t>
      </w:r>
      <w:proofErr w:type="spellEnd"/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i</w:t>
      </w:r>
      <w:r w:rsidR="000A206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zaangażowanych ekspertów, przeprowadził oględziny rzeki Zawad</w:t>
      </w:r>
      <w:r w:rsidR="000A206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ó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wki w </w:t>
      </w:r>
      <w:r w:rsidR="000A2066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rejonie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 jaworowskim obwodu lwowskiego.</w:t>
      </w:r>
    </w:p>
    <w:p w14:paraId="51C1DF48" w14:textId="1EF22BA4" w:rsidR="00323AB7" w:rsidRPr="005A5A39" w:rsidRDefault="00323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</w:pP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Rzeka Za</w:t>
      </w:r>
      <w:r w:rsidR="000A2066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w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ad</w:t>
      </w:r>
      <w:r w:rsidR="000A2066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ów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ka (znana również jako Lubac</w:t>
      </w:r>
      <w:r w:rsidR="000A2066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zów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ka) o długości 19,6 km jest prawym dopływem rzeki </w:t>
      </w:r>
      <w:hyperlink r:id="rId8" w:tgtFrame="_blank" w:tooltip="Західний Буг" w:history="1">
        <w:r w:rsidR="00CD2879" w:rsidRPr="005A5A39">
          <w:rPr>
            <w:rFonts w:ascii="Times New Roman" w:eastAsia="Times New Roman" w:hAnsi="Times New Roman" w:cs="Times New Roman"/>
            <w:color w:val="222222"/>
            <w:sz w:val="28"/>
            <w:szCs w:val="28"/>
            <w:lang w:val="pl-PL"/>
          </w:rPr>
          <w:t>San</w:t>
        </w:r>
      </w:hyperlink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 (zlewisko </w:t>
      </w:r>
      <w:hyperlink r:id="rId9" w:tgtFrame="_blank" w:tooltip="Балтійське море" w:history="1">
        <w:r w:rsidRPr="005A5A39">
          <w:rPr>
            <w:rFonts w:ascii="Times New Roman" w:eastAsia="Times New Roman" w:hAnsi="Times New Roman" w:cs="Times New Roman"/>
            <w:color w:val="222222"/>
            <w:sz w:val="28"/>
            <w:szCs w:val="28"/>
            <w:lang w:val="pl-PL"/>
          </w:rPr>
          <w:t>Morza Bałtyckiego</w:t>
        </w:r>
      </w:hyperlink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). Koryto rzeki jest uregulowane. W latach 70. ubiegłego wieku zbudowano zbiornik </w:t>
      </w:r>
      <w:r w:rsidR="00CD2879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Zawadowski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, </w:t>
      </w:r>
      <w:r w:rsidR="00CD2879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o powierzchni 395 hektarów, 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który dostarczał wodę przemysłową do przedsiębiorstwa </w:t>
      </w:r>
      <w:r w:rsidR="00CD2879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„Siarka”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.</w:t>
      </w:r>
    </w:p>
    <w:p w14:paraId="159FAD98" w14:textId="38D7639E" w:rsidR="00323AB7" w:rsidRPr="005A5A39" w:rsidRDefault="00323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Badanie wykazało, że koryto rzeki jest </w:t>
      </w:r>
      <w:r w:rsidR="00012315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zagracone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, a w niektórych miejscach bagniste. W wyniku zawieszenia działalności </w:t>
      </w:r>
      <w:r w:rsidR="00072580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zakładu „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Si</w:t>
      </w:r>
      <w:r w:rsidR="00A777F6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a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rk</w:t>
      </w:r>
      <w:r w:rsidR="00072580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a”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, wszystkie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budowle </w:t>
      </w:r>
      <w:r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 xml:space="preserve">hydrotechniczne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 dorzeczu rzeki Za</w:t>
      </w:r>
      <w:r w:rsidR="00A777F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ad</w:t>
      </w:r>
      <w:r w:rsidR="00A777F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ów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ka nie są obsługiwane ani konserwowane, ulegają awarii i stopniowo niszczeją.</w:t>
      </w:r>
    </w:p>
    <w:p w14:paraId="29D34AEE" w14:textId="11B9A638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Większość ujścia rzeki </w:t>
      </w:r>
      <w:r w:rsidR="00A777F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Zawadówka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znajduje się </w:t>
      </w:r>
      <w:r w:rsidR="00072580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 cofce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struktur hydraulicznych zbiornika </w:t>
      </w:r>
      <w:r w:rsidR="00A777F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Zawadówka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, co prowadzi do okresowego zalewania działek przydomowych we wsi </w:t>
      </w:r>
      <w:r w:rsidR="00A777F6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Zawadów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.</w:t>
      </w:r>
    </w:p>
    <w:p w14:paraId="29EE5478" w14:textId="4F794C3B" w:rsidR="00323AB7" w:rsidRPr="005A5A39" w:rsidRDefault="00323AB7" w:rsidP="00E26D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Na </w:t>
      </w:r>
      <w:r w:rsidR="00823553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zlecenie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="00823553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samorządu miasta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Jawor</w:t>
      </w:r>
      <w:r w:rsidR="00823553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</w:t>
      </w:r>
      <w:r w:rsidR="00823553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Grupa Projektowa </w:t>
      </w:r>
      <w:r w:rsidR="00823553" w:rsidRPr="005A5A39">
        <w:rPr>
          <w:rFonts w:ascii="Times New Roman" w:eastAsia="Calibri" w:hAnsi="Times New Roman" w:cs="Times New Roman"/>
          <w:sz w:val="28"/>
          <w:lang w:val="pl-PL"/>
        </w:rPr>
        <w:t>Zarząd</w:t>
      </w:r>
      <w:r w:rsidR="00E26D37" w:rsidRPr="005A5A39">
        <w:rPr>
          <w:rFonts w:ascii="Times New Roman" w:eastAsia="Calibri" w:hAnsi="Times New Roman" w:cs="Times New Roman"/>
          <w:sz w:val="28"/>
          <w:lang w:val="pl-PL"/>
        </w:rPr>
        <w:t>u</w:t>
      </w:r>
      <w:r w:rsidR="00823553" w:rsidRPr="005A5A39">
        <w:rPr>
          <w:rFonts w:ascii="Times New Roman" w:eastAsia="Calibri" w:hAnsi="Times New Roman" w:cs="Times New Roman"/>
          <w:sz w:val="28"/>
          <w:lang w:val="pl-PL"/>
        </w:rPr>
        <w:t xml:space="preserve"> Zasobów Wodnych Dorzecza Bugu i Sanu</w:t>
      </w:r>
      <w:r w:rsidR="00E26D37" w:rsidRPr="005A5A39">
        <w:rPr>
          <w:rFonts w:ascii="Times New Roman" w:eastAsia="Calibri" w:hAnsi="Times New Roman" w:cs="Times New Roman"/>
          <w:sz w:val="28"/>
          <w:lang w:val="pl-PL"/>
        </w:rPr>
        <w:t xml:space="preserve">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opracowała w 2022 r</w:t>
      </w:r>
      <w:r w:rsidR="00E26D3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oku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projekt </w:t>
      </w:r>
      <w:r w:rsidR="00647BF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„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Działania na rzecz przywrócenia i utrzymania korzystnego reżimu hydrologicznego i stanu sanitarnego koryta rzeki Zawad</w:t>
      </w:r>
      <w:r w:rsidR="00E26D3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ó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wka w obrębie wsi Zawadów w </w:t>
      </w:r>
      <w:r w:rsidR="009177E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rejonie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jaworowskim obwodu lwowskiego (remont</w:t>
      </w:r>
      <w:r w:rsidR="009177E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kapitalny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)</w:t>
      </w:r>
      <w:r w:rsidR="009177E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”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. </w:t>
      </w:r>
    </w:p>
    <w:p w14:paraId="372B486D" w14:textId="520EDAF1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Projekt przewiduje oczyszczenie koryta rzeki Za</w:t>
      </w:r>
      <w:r w:rsidR="00647BF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ad</w:t>
      </w:r>
      <w:r w:rsidR="00647BF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ów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ka o łącznej długości 3,42</w:t>
      </w:r>
      <w:r w:rsidR="009177E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km, począwszy od ujścia rzeki do zbiornika </w:t>
      </w:r>
      <w:r w:rsidR="009177EB" w:rsidRPr="005A5A39">
        <w:rPr>
          <w:rFonts w:ascii="Times New Roman" w:eastAsia="Times New Roman" w:hAnsi="Times New Roman" w:cs="Times New Roman"/>
          <w:color w:val="222222"/>
          <w:sz w:val="28"/>
          <w:szCs w:val="28"/>
          <w:lang w:val="pl-PL"/>
        </w:rPr>
        <w:t>Zawadowskiego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. Projekt przechodzi obecnie procedurę oceny oddziaływania na środowisko.</w:t>
      </w:r>
    </w:p>
    <w:p w14:paraId="1286465B" w14:textId="5CFDE0C4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Działanie dotyczące rewitalizacji rzeki Zawad</w:t>
      </w:r>
      <w:r w:rsidR="009177E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ó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wki znajduje się na </w:t>
      </w:r>
      <w:r w:rsidR="009177E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„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Pełnej liście programów (planów) dla obszaru dorzecza Wisły, ich treści i problemów do rozwiązania</w:t>
      </w:r>
      <w:r w:rsidR="009177E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”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. Plan gospodarowania wodami na obszarze dorzecza Wisły </w:t>
      </w:r>
      <w:r w:rsidR="009177E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ma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zostać zatwierdzony przez Radę Ministrów Ukrainy do końca 2024 roku.</w:t>
      </w:r>
    </w:p>
    <w:p w14:paraId="4445D2D8" w14:textId="046A4D8F" w:rsidR="00323AB7" w:rsidRPr="005A5A39" w:rsidRDefault="009177E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Badanie</w:t>
      </w:r>
      <w:r w:rsidR="00323AB7"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 xml:space="preserve"> zbiornika </w:t>
      </w:r>
      <w:r w:rsidRPr="005A5A39">
        <w:rPr>
          <w:rFonts w:ascii="Times New Roman" w:eastAsia="Calibri" w:hAnsi="Times New Roman" w:cs="Times New Roman"/>
          <w:b/>
          <w:bCs/>
          <w:sz w:val="28"/>
          <w:szCs w:val="28"/>
          <w:lang w:val="pl-PL"/>
        </w:rPr>
        <w:t>Zawadowskiego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. Zgodnie z punktem 3 planu pracy Grupy 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OP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na 2023 r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ok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, w dniu 06.04.2023 r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oku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specjaliści 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Zarządu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przeprowadzili 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badanie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zbiornika 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Zawadowskiego 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 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rejonie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jaworowskim, który znajduje się w dolinie rzeki Za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ad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ów</w:t>
      </w:r>
      <w:r w:rsidR="00323AB7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ka w odległości około 4 km od granicy z Rzeczpospolitą Polską.</w:t>
      </w:r>
    </w:p>
    <w:p w14:paraId="45B694BD" w14:textId="3A0C8A03" w:rsidR="00323AB7" w:rsidRPr="005A5A39" w:rsidRDefault="00323A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Na rzece 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Zawadówka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znajduje się zapora ziemna o długości około 600 m, wysokości około 10 m i szerokości około 6 m na szczycie. Zbocza po stronie zbiornika są umocnione monolitycznym betonem. Powierzchnia lustra wody wynosi około 395</w:t>
      </w:r>
      <w:r w:rsidR="00787CBB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hektarów.</w:t>
      </w:r>
    </w:p>
    <w:p w14:paraId="08750290" w14:textId="0D02B487" w:rsidR="00323AB7" w:rsidRPr="005A5A39" w:rsidRDefault="00323A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 czasie badania poziom wody w zbiorniku znajdował się 1 metr poniżej </w:t>
      </w:r>
      <w:r w:rsidR="00A316D3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normalnego poziomu piętrzenia (NPP)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. Pionowa część dolnego przelewu znajduje się 10 m od korony zapory w kierunku zbiornika. Wizualnie ustalono, że mechanizmy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lastRenderedPageBreak/>
        <w:t>podnoszące zostały niedawno częściowo naprawione, co umożliwia regulację poziomu wody w zbiorniku.</w:t>
      </w:r>
    </w:p>
    <w:p w14:paraId="0BEFF102" w14:textId="548F6E31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Zasady eksploatacji zbiornika </w:t>
      </w:r>
      <w:r w:rsidR="0096741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Zawadowskiego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pochodzą z 2007 r. i muszą zostać zmienione, ponieważ zbiornik stracił swój podstawowy cel </w:t>
      </w:r>
      <w:r w:rsidR="0096741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–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techniczne zaopatrzenie w wodę podziemnego procesu wytapiania siarki przy użyciu świeżej wody rzecznej </w:t>
      </w:r>
      <w:r w:rsidR="0096741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 zakładzie „Siarka”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.</w:t>
      </w:r>
    </w:p>
    <w:p w14:paraId="0EFD9107" w14:textId="77777777" w:rsidR="00323AB7" w:rsidRPr="005A5A39" w:rsidRDefault="00323AB7" w:rsidP="00440257">
      <w:pPr>
        <w:spacing w:after="0" w:line="240" w:lineRule="auto"/>
        <w:ind w:left="927"/>
        <w:contextualSpacing/>
        <w:jc w:val="both"/>
        <w:rPr>
          <w:rFonts w:ascii="Times New Roman" w:eastAsia="Calibri" w:hAnsi="Times New Roman" w:cs="Times New Roman"/>
          <w:sz w:val="28"/>
          <w:u w:val="single"/>
          <w:lang w:val="pl-PL"/>
        </w:rPr>
      </w:pPr>
    </w:p>
    <w:p w14:paraId="30B16EF8" w14:textId="77777777" w:rsidR="00323AB7" w:rsidRPr="005A5A39" w:rsidRDefault="00323AB7">
      <w:pPr>
        <w:spacing w:after="0" w:line="240" w:lineRule="auto"/>
        <w:ind w:left="927"/>
        <w:contextualSpacing/>
        <w:jc w:val="both"/>
        <w:rPr>
          <w:rFonts w:ascii="Times New Roman" w:eastAsia="Calibri" w:hAnsi="Times New Roman" w:cs="Times New Roman"/>
          <w:sz w:val="28"/>
          <w:u w:val="single"/>
          <w:lang w:val="pl-PL"/>
        </w:rPr>
      </w:pPr>
      <w:r w:rsidRPr="005A5A39">
        <w:rPr>
          <w:rFonts w:ascii="Times New Roman" w:eastAsia="Calibri" w:hAnsi="Times New Roman" w:cs="Times New Roman"/>
          <w:sz w:val="28"/>
          <w:u w:val="single"/>
          <w:lang w:val="pl-PL"/>
        </w:rPr>
        <w:t>Na terytorium obwodu wołyńskiego:</w:t>
      </w:r>
    </w:p>
    <w:p w14:paraId="21FAE721" w14:textId="4DF314F6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Zgodnie z reżimem stanu wojennego, w związku z możliwym zagrożeniem ze strony Republiki Białorusi, w obwodzie wołyńskim w strefie przygranicznej wprowadzono tymczasowe ograniczenia swobody przemieszczania się osób i</w:t>
      </w:r>
      <w:r w:rsidR="0096741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pojazdów. </w:t>
      </w:r>
    </w:p>
    <w:p w14:paraId="318197F5" w14:textId="5FFCCE01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Ponadto wojsko aktywnie pracuje nad inżynieryjn</w:t>
      </w:r>
      <w:r w:rsidR="0096741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ym wyposażeniem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ukraińsko-białoruskiego odcinka, w tym nad instalacją pól minowych.</w:t>
      </w:r>
    </w:p>
    <w:p w14:paraId="53AF69F8" w14:textId="000C04FD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Podsumowując</w:t>
      </w:r>
      <w:r w:rsidR="0096741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należy zaznaczyć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,</w:t>
      </w:r>
      <w:r w:rsidR="0096741A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="00505F80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że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na tym odcinku granicy państwowej nie przeprowadzono żadnych prac.</w:t>
      </w:r>
    </w:p>
    <w:p w14:paraId="0B813261" w14:textId="541169DC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Wysłano również pisma do 7. Oddziału Straży Granicznej Zachodnie</w:t>
      </w:r>
      <w:r w:rsidR="00505F80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go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Regionalne</w:t>
      </w:r>
      <w:r w:rsidR="00505F80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go Urzędu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Państwowej Służby Granicznej Ukrainy z prośbą o</w:t>
      </w:r>
      <w:r w:rsidR="00505F80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przedstawienie sprawozdania z działań podjętych na wodach granicznych w celu zapobiegania sytuacjom kryzysowym. W odpowiedzi na pismo poinformowano, że w</w:t>
      </w:r>
      <w:r w:rsidR="00505F80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latach 2022-2023 nie prowadzono żadnych prac na zbiornikach wodnych w strefie przygranicznej.</w:t>
      </w:r>
    </w:p>
    <w:p w14:paraId="76765A33" w14:textId="77777777" w:rsidR="00323AB7" w:rsidRPr="005A5A39" w:rsidRDefault="00323AB7" w:rsidP="0044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pl-PL"/>
        </w:rPr>
      </w:pPr>
    </w:p>
    <w:p w14:paraId="356F41C0" w14:textId="77777777" w:rsidR="00323AB7" w:rsidRPr="005A5A39" w:rsidRDefault="00323AB7" w:rsidP="0044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pl-PL"/>
        </w:rPr>
      </w:pPr>
    </w:p>
    <w:p w14:paraId="083A39E5" w14:textId="5F3D8BF2" w:rsidR="00323AB7" w:rsidRPr="005A5A39" w:rsidRDefault="00323A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u w:val="single"/>
          <w:lang w:val="pl-PL"/>
        </w:rPr>
      </w:pPr>
      <w:r w:rsidRPr="005A5A39">
        <w:rPr>
          <w:rFonts w:ascii="Times New Roman" w:eastAsia="Calibri" w:hAnsi="Times New Roman" w:cs="Times New Roman"/>
          <w:b/>
          <w:sz w:val="28"/>
          <w:u w:val="single"/>
          <w:lang w:val="pl-PL"/>
        </w:rPr>
        <w:t>W latach 2022-2023 polska strona:</w:t>
      </w:r>
    </w:p>
    <w:p w14:paraId="3CCBC32F" w14:textId="77777777" w:rsidR="00323AB7" w:rsidRPr="005A5A39" w:rsidRDefault="00323AB7" w:rsidP="0044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highlight w:val="yellow"/>
          <w:u w:val="single"/>
          <w:lang w:val="pl-PL"/>
        </w:rPr>
      </w:pPr>
    </w:p>
    <w:p w14:paraId="700BB65E" w14:textId="472DBC53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W dniach 18-21 września 2023 r. polska część Grupy Roboczej </w:t>
      </w:r>
      <w:r w:rsidR="00505F80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P przeprowadziła badanie </w:t>
      </w:r>
      <w:r w:rsidR="00505F80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granicznych 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odcinków rzek na terytorium Rzeczypospolitej Polskiej. Wszystkie wyniki badania zostały przedstawione w protokole z XXXIX </w:t>
      </w:r>
      <w:r w:rsidR="005A5A39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narady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, któr</w:t>
      </w:r>
      <w:r w:rsidR="005A5A39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odbył</w:t>
      </w:r>
      <w:r w:rsidR="005A5A39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a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się w Ustrzykach Dolnych (Polska). </w:t>
      </w:r>
    </w:p>
    <w:p w14:paraId="0C601B41" w14:textId="5FED4060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Strona polska przekazała stronie ukraińskiej do wglądu protokół z XXXIX </w:t>
      </w:r>
      <w:r w:rsidR="005A5A39"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narady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.</w:t>
      </w:r>
    </w:p>
    <w:p w14:paraId="5E023DB1" w14:textId="77777777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Ogólny wniosek z badań terenowych jest taki, że koryta rzek i cieków wodnych wymagają środków technicznych w celu zapewnienia ich przepływu.</w:t>
      </w:r>
    </w:p>
    <w:p w14:paraId="1705882B" w14:textId="77777777" w:rsidR="00323AB7" w:rsidRPr="005A5A39" w:rsidRDefault="00323A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Do najpilniejszych i zrealizowanych zadań, które wymagały podjęcia działań technicznych w celu zapewnienia swobodnego przepływu rzek i cieków wodnych należą:</w:t>
      </w:r>
    </w:p>
    <w:p w14:paraId="4A459D6E" w14:textId="77777777" w:rsidR="00323AB7" w:rsidRPr="005A5A39" w:rsidRDefault="00323AB7" w:rsidP="004402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pl-PL"/>
        </w:rPr>
      </w:pPr>
    </w:p>
    <w:p w14:paraId="6BB56D8F" w14:textId="2434335D" w:rsidR="00323AB7" w:rsidRPr="005A5A39" w:rsidRDefault="00323AB7" w:rsidP="00323AB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lang w:val="pl-PL"/>
        </w:rPr>
        <w:t xml:space="preserve">Likwidacja zatorów na rzece Bug w strefie </w:t>
      </w:r>
      <w:r w:rsidR="005A5A39" w:rsidRPr="005A5A39">
        <w:rPr>
          <w:rFonts w:ascii="Times New Roman" w:eastAsia="Calibri" w:hAnsi="Times New Roman" w:cs="Times New Roman"/>
          <w:sz w:val="28"/>
          <w:lang w:val="pl-PL"/>
        </w:rPr>
        <w:t>granicy państwowej</w:t>
      </w:r>
      <w:r w:rsidRPr="005A5A39">
        <w:rPr>
          <w:rFonts w:ascii="Times New Roman" w:eastAsia="Calibri" w:hAnsi="Times New Roman" w:cs="Times New Roman"/>
          <w:sz w:val="28"/>
          <w:lang w:val="pl-PL"/>
        </w:rPr>
        <w:t xml:space="preserve"> PL-UA zgodnie z </w:t>
      </w:r>
      <w:r w:rsidR="005A5A39" w:rsidRPr="005A5A39">
        <w:rPr>
          <w:rFonts w:ascii="Times New Roman" w:eastAsia="Calibri" w:hAnsi="Times New Roman" w:cs="Times New Roman"/>
          <w:sz w:val="28"/>
          <w:lang w:val="pl-PL"/>
        </w:rPr>
        <w:t>wykazem</w:t>
      </w:r>
      <w:r w:rsidRPr="005A5A39">
        <w:rPr>
          <w:rFonts w:ascii="Times New Roman" w:eastAsia="Calibri" w:hAnsi="Times New Roman" w:cs="Times New Roman"/>
          <w:sz w:val="28"/>
          <w:lang w:val="pl-PL"/>
        </w:rPr>
        <w:t>:</w:t>
      </w:r>
    </w:p>
    <w:p w14:paraId="2A38F6AB" w14:textId="77777777" w:rsidR="00323AB7" w:rsidRPr="005A5A39" w:rsidRDefault="00323AB7" w:rsidP="00440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</w:p>
    <w:p w14:paraId="64D26581" w14:textId="64C654B9" w:rsidR="00323AB7" w:rsidRPr="005A5A39" w:rsidRDefault="00323AB7" w:rsidP="004402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pl-PL"/>
        </w:rPr>
      </w:pPr>
    </w:p>
    <w:p w14:paraId="27AD3339" w14:textId="3A92C868" w:rsidR="00505F80" w:rsidRPr="005A5A39" w:rsidRDefault="00505F80" w:rsidP="004402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6"/>
        <w:gridCol w:w="1404"/>
        <w:gridCol w:w="1265"/>
        <w:gridCol w:w="1679"/>
        <w:gridCol w:w="1466"/>
        <w:gridCol w:w="1363"/>
        <w:gridCol w:w="1236"/>
      </w:tblGrid>
      <w:tr w:rsidR="00505F80" w:rsidRPr="005A5A39" w14:paraId="541C0228" w14:textId="77777777" w:rsidTr="005A5A39">
        <w:trPr>
          <w:trHeight w:val="340"/>
        </w:trPr>
        <w:tc>
          <w:tcPr>
            <w:tcW w:w="1216" w:type="dxa"/>
            <w:vAlign w:val="center"/>
          </w:tcPr>
          <w:p w14:paraId="5EB57486" w14:textId="77777777" w:rsidR="00505F80" w:rsidRPr="005A5A39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Rok w którym wykonano działanie</w:t>
            </w:r>
          </w:p>
        </w:tc>
        <w:tc>
          <w:tcPr>
            <w:tcW w:w="1418" w:type="dxa"/>
            <w:vAlign w:val="center"/>
          </w:tcPr>
          <w:p w14:paraId="7244143D" w14:textId="77777777" w:rsidR="00505F80" w:rsidRPr="005A5A39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działania</w:t>
            </w:r>
          </w:p>
        </w:tc>
        <w:tc>
          <w:tcPr>
            <w:tcW w:w="1278" w:type="dxa"/>
            <w:vAlign w:val="center"/>
          </w:tcPr>
          <w:p w14:paraId="38C96704" w14:textId="77777777" w:rsidR="00505F80" w:rsidRPr="005A5A39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Nadzór Wodny</w:t>
            </w:r>
          </w:p>
        </w:tc>
        <w:tc>
          <w:tcPr>
            <w:tcW w:w="1695" w:type="dxa"/>
            <w:vAlign w:val="center"/>
          </w:tcPr>
          <w:p w14:paraId="2181CBDD" w14:textId="77777777" w:rsidR="00505F80" w:rsidRPr="005A5A39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miejscowości</w:t>
            </w:r>
          </w:p>
        </w:tc>
        <w:tc>
          <w:tcPr>
            <w:tcW w:w="1506" w:type="dxa"/>
            <w:vAlign w:val="center"/>
          </w:tcPr>
          <w:p w14:paraId="0B7694BC" w14:textId="77777777" w:rsidR="00505F80" w:rsidRPr="005A5A39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Km</w:t>
            </w:r>
          </w:p>
        </w:tc>
        <w:tc>
          <w:tcPr>
            <w:tcW w:w="1280" w:type="dxa"/>
            <w:vAlign w:val="center"/>
          </w:tcPr>
          <w:p w14:paraId="5F34B3A8" w14:textId="50B29BC7" w:rsidR="00505F80" w:rsidRPr="005A5A39" w:rsidRDefault="005A5A39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Słup</w:t>
            </w:r>
            <w:r w:rsidR="00505F80"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graniczny</w:t>
            </w:r>
          </w:p>
        </w:tc>
        <w:tc>
          <w:tcPr>
            <w:tcW w:w="1236" w:type="dxa"/>
            <w:vAlign w:val="center"/>
          </w:tcPr>
          <w:p w14:paraId="5D2D4FB9" w14:textId="77777777" w:rsidR="005A5A39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Koszt</w:t>
            </w:r>
          </w:p>
          <w:p w14:paraId="03DD1930" w14:textId="780E71B6" w:rsidR="00505F80" w:rsidRPr="005A5A39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proofErr w:type="spellStart"/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zl</w:t>
            </w:r>
            <w:proofErr w:type="spellEnd"/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</w:p>
        </w:tc>
      </w:tr>
      <w:tr w:rsidR="00505F80" w:rsidRPr="005A5A39" w14:paraId="2C06CD17" w14:textId="77777777" w:rsidTr="00DE01A8">
        <w:trPr>
          <w:trHeight w:val="286"/>
        </w:trPr>
        <w:tc>
          <w:tcPr>
            <w:tcW w:w="1216" w:type="dxa"/>
            <w:vAlign w:val="center"/>
          </w:tcPr>
          <w:p w14:paraId="518B8974" w14:textId="77777777" w:rsidR="00505F80" w:rsidRPr="00DE01A8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E01A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1418" w:type="dxa"/>
            <w:vAlign w:val="center"/>
          </w:tcPr>
          <w:p w14:paraId="71250792" w14:textId="77777777" w:rsidR="00505F80" w:rsidRPr="00DE01A8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E01A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1278" w:type="dxa"/>
            <w:vAlign w:val="center"/>
          </w:tcPr>
          <w:p w14:paraId="34A0637A" w14:textId="77777777" w:rsidR="00505F80" w:rsidRPr="00DE01A8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E01A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1695" w:type="dxa"/>
            <w:vAlign w:val="center"/>
          </w:tcPr>
          <w:p w14:paraId="0815077B" w14:textId="77777777" w:rsidR="00505F80" w:rsidRPr="00DE01A8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E01A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</w:p>
        </w:tc>
        <w:tc>
          <w:tcPr>
            <w:tcW w:w="1506" w:type="dxa"/>
            <w:vAlign w:val="center"/>
          </w:tcPr>
          <w:p w14:paraId="29CCAA17" w14:textId="77777777" w:rsidR="00505F80" w:rsidRPr="00DE01A8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E01A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</w:t>
            </w:r>
          </w:p>
        </w:tc>
        <w:tc>
          <w:tcPr>
            <w:tcW w:w="1280" w:type="dxa"/>
            <w:vAlign w:val="center"/>
          </w:tcPr>
          <w:p w14:paraId="2BA5F4DF" w14:textId="77777777" w:rsidR="00505F80" w:rsidRPr="00DE01A8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E01A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  <w:tc>
          <w:tcPr>
            <w:tcW w:w="1236" w:type="dxa"/>
            <w:vAlign w:val="center"/>
          </w:tcPr>
          <w:p w14:paraId="18AFD18D" w14:textId="77777777" w:rsidR="00505F80" w:rsidRPr="00DE01A8" w:rsidRDefault="00505F80" w:rsidP="006A70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DE01A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</w:t>
            </w:r>
          </w:p>
        </w:tc>
      </w:tr>
      <w:tr w:rsidR="005A5A39" w:rsidRPr="005A5A39" w14:paraId="758070B5" w14:textId="77777777" w:rsidTr="005A5A39">
        <w:trPr>
          <w:trHeight w:val="690"/>
        </w:trPr>
        <w:tc>
          <w:tcPr>
            <w:tcW w:w="1216" w:type="dxa"/>
            <w:vMerge w:val="restart"/>
            <w:vAlign w:val="center"/>
          </w:tcPr>
          <w:p w14:paraId="1BF6AE0B" w14:textId="77777777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2023</w:t>
            </w:r>
          </w:p>
        </w:tc>
        <w:tc>
          <w:tcPr>
            <w:tcW w:w="1418" w:type="dxa"/>
            <w:vMerge w:val="restart"/>
            <w:vAlign w:val="center"/>
          </w:tcPr>
          <w:p w14:paraId="617FA8CC" w14:textId="77777777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Rozbiórka zatorów drzewnych</w:t>
            </w:r>
          </w:p>
        </w:tc>
        <w:tc>
          <w:tcPr>
            <w:tcW w:w="1278" w:type="dxa"/>
            <w:vAlign w:val="center"/>
          </w:tcPr>
          <w:p w14:paraId="08E1CAEC" w14:textId="77777777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Chełm</w:t>
            </w:r>
          </w:p>
          <w:p w14:paraId="112756ED" w14:textId="59326533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(RZGW Lublin)</w:t>
            </w:r>
          </w:p>
        </w:tc>
        <w:tc>
          <w:tcPr>
            <w:tcW w:w="1695" w:type="dxa"/>
            <w:vAlign w:val="center"/>
          </w:tcPr>
          <w:p w14:paraId="2D3E7593" w14:textId="31980576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Świerże i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 </w:t>
            </w: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Husynne</w:t>
            </w:r>
          </w:p>
        </w:tc>
        <w:tc>
          <w:tcPr>
            <w:tcW w:w="1506" w:type="dxa"/>
            <w:vAlign w:val="center"/>
          </w:tcPr>
          <w:p w14:paraId="50315A13" w14:textId="135A86B9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563+500</w:t>
            </w:r>
          </w:p>
        </w:tc>
        <w:tc>
          <w:tcPr>
            <w:tcW w:w="1280" w:type="dxa"/>
            <w:vAlign w:val="center"/>
          </w:tcPr>
          <w:p w14:paraId="191CC9C9" w14:textId="77777777" w:rsidR="00DE01A8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972</w:t>
            </w:r>
          </w:p>
          <w:p w14:paraId="1059644C" w14:textId="42716119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1002</w:t>
            </w:r>
            <w:r w:rsidR="00DE01A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 i </w:t>
            </w: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1003</w:t>
            </w:r>
          </w:p>
        </w:tc>
        <w:tc>
          <w:tcPr>
            <w:tcW w:w="1236" w:type="dxa"/>
            <w:vAlign w:val="center"/>
          </w:tcPr>
          <w:p w14:paraId="50695F78" w14:textId="79278585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292964,98</w:t>
            </w:r>
          </w:p>
        </w:tc>
      </w:tr>
      <w:tr w:rsidR="005A5A39" w:rsidRPr="005A5A39" w14:paraId="119E8EC2" w14:textId="77777777" w:rsidTr="005A5A39">
        <w:trPr>
          <w:trHeight w:val="340"/>
        </w:trPr>
        <w:tc>
          <w:tcPr>
            <w:tcW w:w="1216" w:type="dxa"/>
            <w:vMerge/>
          </w:tcPr>
          <w:p w14:paraId="5B70C218" w14:textId="77777777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  <w:vMerge/>
          </w:tcPr>
          <w:p w14:paraId="0FD2F3C1" w14:textId="77777777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278" w:type="dxa"/>
            <w:vAlign w:val="center"/>
          </w:tcPr>
          <w:p w14:paraId="4828838B" w14:textId="77777777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Włodawa</w:t>
            </w:r>
          </w:p>
          <w:p w14:paraId="1F2E91A8" w14:textId="554B4B41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(RZGW Lublin)</w:t>
            </w:r>
          </w:p>
        </w:tc>
        <w:tc>
          <w:tcPr>
            <w:tcW w:w="1695" w:type="dxa"/>
            <w:vAlign w:val="center"/>
          </w:tcPr>
          <w:p w14:paraId="5896A5DC" w14:textId="4492DBB3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Siedliszcze</w:t>
            </w:r>
          </w:p>
        </w:tc>
        <w:tc>
          <w:tcPr>
            <w:tcW w:w="1506" w:type="dxa"/>
            <w:vAlign w:val="center"/>
          </w:tcPr>
          <w:p w14:paraId="2665BBDF" w14:textId="510328C2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433+200</w:t>
            </w:r>
          </w:p>
        </w:tc>
        <w:tc>
          <w:tcPr>
            <w:tcW w:w="1280" w:type="dxa"/>
            <w:vAlign w:val="center"/>
          </w:tcPr>
          <w:p w14:paraId="27E51069" w14:textId="013F864D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1023</w:t>
            </w:r>
          </w:p>
        </w:tc>
        <w:tc>
          <w:tcPr>
            <w:tcW w:w="1236" w:type="dxa"/>
            <w:vAlign w:val="center"/>
          </w:tcPr>
          <w:p w14:paraId="19B3610A" w14:textId="7D0FFA0E" w:rsidR="005A5A39" w:rsidRPr="005A5A39" w:rsidRDefault="005A5A39" w:rsidP="005A5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A5A3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248692,59</w:t>
            </w:r>
          </w:p>
        </w:tc>
      </w:tr>
    </w:tbl>
    <w:p w14:paraId="0AD75EF4" w14:textId="77777777" w:rsidR="00505F80" w:rsidRPr="005A5A39" w:rsidRDefault="00505F80" w:rsidP="00505F80">
      <w:pPr>
        <w:spacing w:after="0" w:line="360" w:lineRule="auto"/>
        <w:rPr>
          <w:lang w:val="pl-PL"/>
        </w:rPr>
      </w:pPr>
    </w:p>
    <w:p w14:paraId="71DB6F13" w14:textId="13237568" w:rsidR="00505F80" w:rsidRPr="005A5A39" w:rsidRDefault="00505F80" w:rsidP="00505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2. Celem zapewnienia swobodnego przepływu wód w ciekach wód granicznych i</w:t>
      </w:r>
      <w:r w:rsidR="00DE01A8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transgranicznych na obszarze działania Zarządu Zlewni w Białej Podlaskiej (RZGW w Lublinie) i na obszarze działania Zarządu Zlewni w Przemyślu (RZGW w</w:t>
      </w:r>
      <w:r w:rsidR="00DE01A8">
        <w:rPr>
          <w:rFonts w:ascii="Times New Roman" w:eastAsia="Calibri" w:hAnsi="Times New Roman" w:cs="Times New Roman"/>
          <w:sz w:val="28"/>
          <w:szCs w:val="28"/>
          <w:lang w:val="pl-PL"/>
        </w:rPr>
        <w:t> 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Rzeszowie) poniesione zostały znaczące nakłady finansowe na uporządkowania koryt tych cieków w celu przeciwdziałania skutkom powodzi.</w:t>
      </w:r>
    </w:p>
    <w:p w14:paraId="0A412F7B" w14:textId="5F4A5712" w:rsidR="00505F80" w:rsidRPr="005A5A39" w:rsidRDefault="00505F80" w:rsidP="00505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Pomiędzy stronami odbyły się wielokrotne konsultacje telefoniczne, e-mailowe oraz w formie wideokonferencji celem podsumowania bieżącej działalności oraz uzgodnienia projektów sprawozdań i planu pracy.</w:t>
      </w:r>
    </w:p>
    <w:p w14:paraId="2C1F0830" w14:textId="43AB75F4" w:rsidR="00505F80" w:rsidRPr="005A5A39" w:rsidRDefault="00505F80" w:rsidP="00505F8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>Ostateczną konkluzją jest fakt, że założenia planu pracy na 2023 r</w:t>
      </w:r>
      <w:r w:rsidR="00DE01A8">
        <w:rPr>
          <w:rFonts w:ascii="Times New Roman" w:eastAsia="Calibri" w:hAnsi="Times New Roman" w:cs="Times New Roman"/>
          <w:sz w:val="28"/>
          <w:szCs w:val="28"/>
          <w:lang w:val="pl-PL"/>
        </w:rPr>
        <w:t>ok</w:t>
      </w:r>
      <w:r w:rsidRPr="005A5A39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zostały zrealizowane.</w:t>
      </w:r>
    </w:p>
    <w:p w14:paraId="6CA6463C" w14:textId="41E15FF0" w:rsidR="00505F80" w:rsidRPr="005A5A39" w:rsidRDefault="00505F80" w:rsidP="004402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pl-PL"/>
        </w:rPr>
      </w:pPr>
    </w:p>
    <w:p w14:paraId="7E2A42A4" w14:textId="364B8038" w:rsidR="00505F80" w:rsidRPr="005A5A39" w:rsidRDefault="00505F80" w:rsidP="004402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pl-PL"/>
        </w:rPr>
      </w:pPr>
    </w:p>
    <w:p w14:paraId="0982BAE4" w14:textId="7748686F" w:rsidR="00505F80" w:rsidRPr="005A5A39" w:rsidRDefault="00505F80" w:rsidP="004402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pl-PL"/>
        </w:rPr>
      </w:pPr>
    </w:p>
    <w:p w14:paraId="5CE76421" w14:textId="77777777" w:rsidR="00F87C22" w:rsidRPr="005A5A39" w:rsidRDefault="00F87C22">
      <w:pPr>
        <w:rPr>
          <w:lang w:val="pl-PL"/>
        </w:rPr>
      </w:pPr>
    </w:p>
    <w:sectPr w:rsidR="00F87C22" w:rsidRPr="005A5A39" w:rsidSect="00F759D0">
      <w:headerReference w:type="default" r:id="rId10"/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1BBB1" w14:textId="77777777" w:rsidR="002116A3" w:rsidRDefault="002116A3">
      <w:pPr>
        <w:spacing w:after="0" w:line="240" w:lineRule="auto"/>
      </w:pPr>
      <w:r>
        <w:separator/>
      </w:r>
    </w:p>
  </w:endnote>
  <w:endnote w:type="continuationSeparator" w:id="0">
    <w:p w14:paraId="2FE49D14" w14:textId="77777777" w:rsidR="002116A3" w:rsidRDefault="0021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7097529"/>
      <w:docPartObj>
        <w:docPartGallery w:val="Page Numbers (Bottom of Page)"/>
        <w:docPartUnique/>
      </w:docPartObj>
    </w:sdtPr>
    <w:sdtContent>
      <w:p w14:paraId="148DCE6B" w14:textId="3E74D6CA" w:rsidR="006D25CB" w:rsidRDefault="006D25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25CB">
          <w:rPr>
            <w:noProof/>
            <w:lang w:val="pl-PL"/>
          </w:rPr>
          <w:t>1</w:t>
        </w:r>
        <w:r>
          <w:fldChar w:fldCharType="end"/>
        </w:r>
      </w:p>
    </w:sdtContent>
  </w:sdt>
  <w:p w14:paraId="7532116C" w14:textId="77777777" w:rsidR="00DA2F79" w:rsidRPr="00DA2F79" w:rsidRDefault="002116A3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78FFF" w14:textId="77777777" w:rsidR="002116A3" w:rsidRDefault="002116A3">
      <w:pPr>
        <w:spacing w:after="0" w:line="240" w:lineRule="auto"/>
      </w:pPr>
      <w:r>
        <w:separator/>
      </w:r>
    </w:p>
  </w:footnote>
  <w:footnote w:type="continuationSeparator" w:id="0">
    <w:p w14:paraId="5DE09AA2" w14:textId="77777777" w:rsidR="002116A3" w:rsidRDefault="00211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371C7" w14:textId="77390A10" w:rsidR="00833FF2" w:rsidRDefault="002116A3" w:rsidP="006D25CB">
    <w:pPr>
      <w:pStyle w:val="Nagwek"/>
      <w:rPr>
        <w:rFonts w:ascii="Times New Roman" w:hAnsi="Times New Roman" w:cs="Times New Roman"/>
        <w:sz w:val="20"/>
        <w:szCs w:val="20"/>
      </w:rPr>
    </w:pPr>
  </w:p>
  <w:p w14:paraId="4290BAC8" w14:textId="77777777" w:rsidR="00427614" w:rsidRDefault="002116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435C9"/>
    <w:multiLevelType w:val="hybridMultilevel"/>
    <w:tmpl w:val="92AC74DE"/>
    <w:lvl w:ilvl="0" w:tplc="0EE23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6567C39"/>
    <w:multiLevelType w:val="hybridMultilevel"/>
    <w:tmpl w:val="B40E0300"/>
    <w:lvl w:ilvl="0" w:tplc="24704F58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0629F"/>
    <w:multiLevelType w:val="hybridMultilevel"/>
    <w:tmpl w:val="6EC02576"/>
    <w:lvl w:ilvl="0" w:tplc="81A2C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22"/>
    <w:rsid w:val="00012315"/>
    <w:rsid w:val="00072580"/>
    <w:rsid w:val="000A2066"/>
    <w:rsid w:val="002116A3"/>
    <w:rsid w:val="002C3518"/>
    <w:rsid w:val="00323AB7"/>
    <w:rsid w:val="00505F80"/>
    <w:rsid w:val="00512A64"/>
    <w:rsid w:val="005133CF"/>
    <w:rsid w:val="005A5A39"/>
    <w:rsid w:val="00614201"/>
    <w:rsid w:val="00627230"/>
    <w:rsid w:val="00647BF7"/>
    <w:rsid w:val="0065077A"/>
    <w:rsid w:val="006639D8"/>
    <w:rsid w:val="006D25CB"/>
    <w:rsid w:val="00787CBB"/>
    <w:rsid w:val="007E288E"/>
    <w:rsid w:val="00803D54"/>
    <w:rsid w:val="00823553"/>
    <w:rsid w:val="009177EB"/>
    <w:rsid w:val="009670F3"/>
    <w:rsid w:val="0096741A"/>
    <w:rsid w:val="00A316D3"/>
    <w:rsid w:val="00A777F6"/>
    <w:rsid w:val="00BC7A7C"/>
    <w:rsid w:val="00C00063"/>
    <w:rsid w:val="00CD2879"/>
    <w:rsid w:val="00DE01A8"/>
    <w:rsid w:val="00E22364"/>
    <w:rsid w:val="00E26D37"/>
    <w:rsid w:val="00F60C3A"/>
    <w:rsid w:val="00F87C22"/>
    <w:rsid w:val="00FF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56434E"/>
  <w15:chartTrackingRefBased/>
  <w15:docId w15:val="{E45EFD60-5373-4941-AFBB-53A7A42F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23AB7"/>
    <w:pPr>
      <w:spacing w:after="0" w:line="240" w:lineRule="auto"/>
    </w:pPr>
    <w:rPr>
      <w:lang w:val="ru-RU"/>
    </w:rPr>
  </w:style>
  <w:style w:type="table" w:styleId="Tabela-Siatka">
    <w:name w:val="Table Grid"/>
    <w:basedOn w:val="Standardowy"/>
    <w:uiPriority w:val="39"/>
    <w:rsid w:val="00323AB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3AB7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323AB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23AB7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323AB7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2A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2A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2A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A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A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7%D0%B0%D1%85%D1%96%D0%B4%D0%BD%D0%B8%D0%B9_%D0%91%D1%83%D0%B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1%D0%B0%D0%BB%D1%82%D1%96%D0%B9%D1%81%D1%8C%D0%BA%D0%B5_%D0%BC%D0%BE%D1%80%D0%B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FC533-7688-4964-ABAA-12CC77CF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1506</Words>
  <Characters>9038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Олексій Нахлік</dc:creator>
  <cp:keywords/>
  <dc:description/>
  <cp:lastModifiedBy>Delis-Szeląg Katarzyna</cp:lastModifiedBy>
  <cp:revision>4</cp:revision>
  <dcterms:created xsi:type="dcterms:W3CDTF">2023-10-25T12:46:00Z</dcterms:created>
  <dcterms:modified xsi:type="dcterms:W3CDTF">2023-10-25T13:45:00Z</dcterms:modified>
</cp:coreProperties>
</file>